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412A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Job Description: Capacity Building Officer </w:t>
      </w:r>
    </w:p>
    <w:p w14:paraId="5F9398CF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bookmarkStart w:id="1" w:name="_t7qorutr3llt" w:colFirst="0" w:colLast="0"/>
      <w:bookmarkEnd w:id="1"/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as</w:t>
      </w:r>
      <w:proofErr w:type="gramEnd"/>
      <w:r>
        <w:rPr>
          <w:rFonts w:ascii="Arial" w:eastAsia="Arial" w:hAnsi="Arial" w:cs="Arial"/>
        </w:rPr>
        <w:t xml:space="preserve"> of November 2023)</w:t>
      </w:r>
    </w:p>
    <w:p w14:paraId="3C5A3203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3D7DBF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OVERVIEW</w:t>
      </w:r>
    </w:p>
    <w:p w14:paraId="310DEE5E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7E47DD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Capacity Building Officer is a core personnel in WAO’s Capacity Building department. They advocate for an end to gender-based violence and gender discrimination by influencing laws, policies, practises, and public attitudes through diversified communit</w:t>
      </w:r>
      <w:r>
        <w:rPr>
          <w:rFonts w:ascii="Arial" w:eastAsia="Arial" w:hAnsi="Arial" w:cs="Arial"/>
          <w:sz w:val="22"/>
          <w:szCs w:val="22"/>
        </w:rPr>
        <w:t xml:space="preserve">y outreach. They are a resource person and are part of the team that executes plans to achieve meaningful social change by </w:t>
      </w:r>
      <w:proofErr w:type="spellStart"/>
      <w:r>
        <w:rPr>
          <w:rFonts w:ascii="Arial" w:eastAsia="Arial" w:hAnsi="Arial" w:cs="Arial"/>
          <w:sz w:val="22"/>
          <w:szCs w:val="22"/>
        </w:rPr>
        <w:t>strategising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the mobilisation of communities and developing the capacities of targeted public and private sectors to take action </w:t>
      </w:r>
      <w:r>
        <w:rPr>
          <w:rFonts w:ascii="Arial" w:eastAsia="Arial" w:hAnsi="Arial" w:cs="Arial"/>
          <w:sz w:val="22"/>
          <w:szCs w:val="22"/>
        </w:rPr>
        <w:t xml:space="preserve">towards eliminating gender-based violence.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D97E092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68F2179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C03F007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1C2AE9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KEY RESPONSIBILITIES</w:t>
      </w:r>
    </w:p>
    <w:p w14:paraId="29A71BD7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E3CFDD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Safe Community Project (Grassroots, Corporate, NGO and Government Sector) (</w:t>
      </w:r>
      <w:r>
        <w:rPr>
          <w:rFonts w:ascii="Arial" w:eastAsia="Arial" w:hAnsi="Arial" w:cs="Arial"/>
          <w:i/>
          <w:sz w:val="22"/>
          <w:szCs w:val="22"/>
        </w:rPr>
        <w:t>4</w:t>
      </w:r>
      <w:r>
        <w:rPr>
          <w:rFonts w:ascii="Arial" w:eastAsia="Arial" w:hAnsi="Arial" w:cs="Arial"/>
          <w:i/>
          <w:color w:val="000000"/>
          <w:sz w:val="22"/>
          <w:szCs w:val="22"/>
        </w:rPr>
        <w:t>0%)</w:t>
      </w:r>
    </w:p>
    <w:p w14:paraId="60AA1312" w14:textId="77777777" w:rsidR="00C649FE" w:rsidRDefault="00C649FE">
      <w:pPr>
        <w:widowControl w:val="0"/>
        <w:spacing w:before="271" w:line="242" w:lineRule="auto"/>
        <w:ind w:right="1043"/>
        <w:jc w:val="both"/>
        <w:rPr>
          <w:rFonts w:ascii="Arial" w:eastAsia="Arial" w:hAnsi="Arial" w:cs="Arial"/>
          <w:sz w:val="22"/>
          <w:szCs w:val="22"/>
        </w:rPr>
      </w:pPr>
    </w:p>
    <w:p w14:paraId="77AA85CF" w14:textId="77777777" w:rsidR="00C649FE" w:rsidRDefault="008C51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Provides feedback to drafted capacity development plans, and together with the team, implements the safe community action plan for the country;</w:t>
      </w:r>
    </w:p>
    <w:p w14:paraId="63DC4218" w14:textId="77777777" w:rsidR="00C649FE" w:rsidRDefault="008C517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Engages with partners in each community or sector, including following up with public or private decision makers</w:t>
      </w:r>
      <w:r>
        <w:rPr>
          <w:rFonts w:ascii="Arial" w:eastAsia="Arial" w:hAnsi="Arial" w:cs="Arial"/>
          <w:sz w:val="22"/>
          <w:szCs w:val="22"/>
        </w:rPr>
        <w:t>, local allies and community leaders to commit to eliminating gender-based violence;</w:t>
      </w:r>
    </w:p>
    <w:p w14:paraId="13E08224" w14:textId="77777777" w:rsidR="00C649FE" w:rsidRDefault="008C517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Actively participates in outreach activities together with the capacity building team, with a view to sustainability and meaningful impact for social change.</w:t>
      </w:r>
    </w:p>
    <w:p w14:paraId="26ED5661" w14:textId="77777777" w:rsidR="00C649FE" w:rsidRDefault="008C517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Involves in t</w:t>
      </w:r>
      <w:r>
        <w:rPr>
          <w:rFonts w:ascii="Arial" w:eastAsia="Arial" w:hAnsi="Arial" w:cs="Arial"/>
          <w:sz w:val="22"/>
          <w:szCs w:val="22"/>
        </w:rPr>
        <w:t>he production and dissemination of community-tailored awareness materials</w:t>
      </w:r>
    </w:p>
    <w:p w14:paraId="7A177CA9" w14:textId="77777777" w:rsidR="00C649FE" w:rsidRDefault="00C6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90"/>
        <w:jc w:val="both"/>
        <w:rPr>
          <w:rFonts w:ascii="Arial" w:eastAsia="Arial" w:hAnsi="Arial" w:cs="Arial"/>
          <w:sz w:val="22"/>
          <w:szCs w:val="22"/>
        </w:rPr>
      </w:pPr>
    </w:p>
    <w:p w14:paraId="72164CC9" w14:textId="77777777" w:rsidR="00C649FE" w:rsidRDefault="008C5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9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Economic Empowerment Project (20%)</w:t>
      </w:r>
    </w:p>
    <w:p w14:paraId="5C8CC2B7" w14:textId="77777777" w:rsidR="00C649FE" w:rsidRDefault="00C6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90"/>
        <w:jc w:val="both"/>
        <w:rPr>
          <w:rFonts w:ascii="Arial" w:eastAsia="Arial" w:hAnsi="Arial" w:cs="Arial"/>
          <w:i/>
          <w:sz w:val="22"/>
          <w:szCs w:val="22"/>
        </w:rPr>
      </w:pPr>
    </w:p>
    <w:p w14:paraId="1F16BE86" w14:textId="77777777" w:rsidR="00C649FE" w:rsidRDefault="008C517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in the development and implementation of economic empowerment projects, and engage with community members to identify needs and tailor programs accordingly.</w:t>
      </w:r>
    </w:p>
    <w:p w14:paraId="4697DE91" w14:textId="77777777" w:rsidR="00C649FE" w:rsidRDefault="008C517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90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with local partners, NGOs, and government bodies to enhance project reach and impact.</w:t>
      </w:r>
    </w:p>
    <w:p w14:paraId="4B4229E1" w14:textId="77777777" w:rsidR="00C649FE" w:rsidRDefault="00C6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90"/>
        <w:jc w:val="both"/>
        <w:rPr>
          <w:rFonts w:ascii="Arial" w:eastAsia="Arial" w:hAnsi="Arial" w:cs="Arial"/>
          <w:sz w:val="22"/>
          <w:szCs w:val="22"/>
        </w:rPr>
      </w:pPr>
    </w:p>
    <w:p w14:paraId="444D8856" w14:textId="77777777" w:rsidR="00C649FE" w:rsidRDefault="008C517B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Girls Empowerment &amp; Male Allies Project (20%)</w:t>
      </w:r>
    </w:p>
    <w:p w14:paraId="6D741EC9" w14:textId="77777777" w:rsidR="00C649FE" w:rsidRDefault="00C649FE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1ACDF32B" w14:textId="77777777" w:rsidR="00C649FE" w:rsidRDefault="008C517B">
      <w:pPr>
        <w:numPr>
          <w:ilvl w:val="0"/>
          <w:numId w:val="5"/>
        </w:num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 closely with the team to plan engagement strategies, and implement capacity building activities for </w:t>
      </w:r>
      <w:proofErr w:type="gramStart"/>
      <w:r>
        <w:rPr>
          <w:rFonts w:ascii="Arial" w:eastAsia="Arial" w:hAnsi="Arial" w:cs="Arial"/>
          <w:sz w:val="22"/>
          <w:szCs w:val="22"/>
        </w:rPr>
        <w:t>girls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empowerment and male allies projects</w:t>
      </w:r>
    </w:p>
    <w:p w14:paraId="69F66CB2" w14:textId="77777777" w:rsidR="00C649FE" w:rsidRDefault="008C517B">
      <w:pPr>
        <w:numPr>
          <w:ilvl w:val="0"/>
          <w:numId w:val="5"/>
        </w:num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Continues to build a network of girl advocates and male allies from all related agencies to promote gender e</w:t>
      </w:r>
      <w:r>
        <w:rPr>
          <w:rFonts w:ascii="Arial" w:eastAsia="Arial" w:hAnsi="Arial" w:cs="Arial"/>
          <w:sz w:val="22"/>
          <w:szCs w:val="22"/>
        </w:rPr>
        <w:t>quality, girl's rights and women's empowerment</w:t>
      </w:r>
    </w:p>
    <w:p w14:paraId="2DB4CBB9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BF830A2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B6E61B6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Frontliner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esponders Training (</w:t>
      </w:r>
      <w:r>
        <w:rPr>
          <w:rFonts w:ascii="Arial" w:eastAsia="Arial" w:hAnsi="Arial" w:cs="Arial"/>
          <w:i/>
          <w:sz w:val="22"/>
          <w:szCs w:val="22"/>
        </w:rPr>
        <w:t>1</w:t>
      </w:r>
      <w:r>
        <w:rPr>
          <w:rFonts w:ascii="Arial" w:eastAsia="Arial" w:hAnsi="Arial" w:cs="Arial"/>
          <w:i/>
          <w:color w:val="000000"/>
          <w:sz w:val="22"/>
          <w:szCs w:val="22"/>
        </w:rPr>
        <w:t>0%)</w:t>
      </w:r>
    </w:p>
    <w:p w14:paraId="64A7590F" w14:textId="77777777" w:rsidR="00C649FE" w:rsidRDefault="008C51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Conducts capacity building interventions to build capacities of all related governmental and non-governmental sectors and stakeholders together with the stakeholder engagement officer. </w:t>
      </w:r>
    </w:p>
    <w:p w14:paraId="03107B68" w14:textId="77777777" w:rsidR="00C649FE" w:rsidRDefault="008C51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Participates in collaborative activities for the implementation of the international framework of human rights standards and guidelines for enforcement officers</w:t>
      </w:r>
    </w:p>
    <w:p w14:paraId="2A5AE7ED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8029D7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Others (10%)</w:t>
      </w:r>
    </w:p>
    <w:p w14:paraId="5BD21D88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C3D123" w14:textId="77777777" w:rsidR="00C649FE" w:rsidRDefault="008C51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Provides feedback to modules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designs and budgeting documentation related to cap</w:t>
      </w:r>
      <w:r>
        <w:rPr>
          <w:rFonts w:ascii="Arial" w:eastAsia="Arial" w:hAnsi="Arial" w:cs="Arial"/>
          <w:color w:val="000000"/>
          <w:sz w:val="22"/>
          <w:szCs w:val="22"/>
        </w:rPr>
        <w:t>acity building;</w:t>
      </w:r>
    </w:p>
    <w:p w14:paraId="413AE051" w14:textId="77777777" w:rsidR="00C649FE" w:rsidRDefault="008C51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in program documentation and periodic reporting related to capacity building;</w:t>
      </w:r>
    </w:p>
    <w:p w14:paraId="0ABC4A89" w14:textId="77777777" w:rsidR="00C649FE" w:rsidRDefault="008C51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Carry out other duties or directions relevant to WAO’s mission.</w:t>
      </w:r>
    </w:p>
    <w:p w14:paraId="74842BB4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8D929A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3DDB51" w14:textId="77777777" w:rsidR="00C649FE" w:rsidRDefault="008C51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QUALITIES</w:t>
      </w:r>
    </w:p>
    <w:p w14:paraId="5F135CD5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4DD503E" w14:textId="77777777" w:rsidR="00C649FE" w:rsidRDefault="008C5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Committed to feminist principles and WAO vision, mission, and core values.</w:t>
      </w:r>
    </w:p>
    <w:p w14:paraId="395C0D7A" w14:textId="77777777" w:rsidR="00C649FE" w:rsidRDefault="008C5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Demonstrates pro-activeness, adaptability and the ability to perform and collaborate under challenging conditions; </w:t>
      </w:r>
    </w:p>
    <w:p w14:paraId="1B7DC894" w14:textId="77777777" w:rsidR="00C649FE" w:rsidRDefault="008C5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Ability to build and manage relationships and clear community mob</w:t>
      </w:r>
      <w:r>
        <w:rPr>
          <w:rFonts w:ascii="Arial" w:eastAsia="Arial" w:hAnsi="Arial" w:cs="Arial"/>
          <w:color w:val="000000"/>
          <w:sz w:val="22"/>
          <w:szCs w:val="22"/>
        </w:rPr>
        <w:t>ilisation abilities;</w:t>
      </w:r>
    </w:p>
    <w:p w14:paraId="4384A5A4" w14:textId="77777777" w:rsidR="00C649FE" w:rsidRDefault="008C5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Strong writing and speaking skills in </w:t>
      </w:r>
      <w:r>
        <w:rPr>
          <w:rFonts w:ascii="Arial" w:eastAsia="Arial" w:hAnsi="Arial" w:cs="Arial"/>
          <w:sz w:val="22"/>
          <w:szCs w:val="22"/>
        </w:rPr>
        <w:t>Bahasa Malaysia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and </w:t>
      </w:r>
      <w:r>
        <w:rPr>
          <w:rFonts w:ascii="Arial" w:eastAsia="Arial" w:hAnsi="Arial" w:cs="Arial"/>
          <w:sz w:val="22"/>
          <w:szCs w:val="22"/>
        </w:rPr>
        <w:t>English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Other languages commonly used in Malaysia </w:t>
      </w:r>
      <w:r>
        <w:rPr>
          <w:rFonts w:ascii="Arial" w:eastAsia="Arial" w:hAnsi="Arial" w:cs="Arial"/>
          <w:sz w:val="22"/>
          <w:szCs w:val="22"/>
        </w:rPr>
        <w:t>are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significant advantage. </w:t>
      </w:r>
    </w:p>
    <w:p w14:paraId="52D3502E" w14:textId="77777777" w:rsidR="00C649FE" w:rsidRDefault="008C5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Has knowledge of (and/or committed to develop expertise in) women’s human rights, gender-based 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iolence, violence against women, and domestic violence at the national level. </w:t>
      </w:r>
    </w:p>
    <w:p w14:paraId="0FB7D91E" w14:textId="77777777" w:rsidR="00C649FE" w:rsidRDefault="00C649F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1116AA" w14:textId="77777777" w:rsidR="00C649FE" w:rsidRDefault="008C517B">
      <w:pPr>
        <w:widowControl w:val="0"/>
        <w:spacing w:line="252" w:lineRule="auto"/>
        <w:ind w:right="1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combination of education, work experience, and training can demonstrate these qualities. E.g.: a Bachelor’s degree and two or more years of relevant work experience. Candidat</w:t>
      </w:r>
      <w:r>
        <w:rPr>
          <w:rFonts w:ascii="Arial" w:eastAsia="Arial" w:hAnsi="Arial" w:cs="Arial"/>
          <w:sz w:val="22"/>
          <w:szCs w:val="22"/>
        </w:rPr>
        <w:t>es with an outstanding track record with limited work experience are also encouraged to apply.</w:t>
      </w:r>
    </w:p>
    <w:p w14:paraId="799F2529" w14:textId="77777777" w:rsidR="00C649FE" w:rsidRDefault="00C649FE">
      <w:pPr>
        <w:widowControl w:val="0"/>
        <w:spacing w:line="252" w:lineRule="auto"/>
        <w:ind w:right="122"/>
        <w:jc w:val="both"/>
        <w:rPr>
          <w:rFonts w:ascii="Arial" w:eastAsia="Arial" w:hAnsi="Arial" w:cs="Arial"/>
          <w:sz w:val="22"/>
          <w:szCs w:val="22"/>
        </w:rPr>
      </w:pPr>
    </w:p>
    <w:p w14:paraId="696198F1" w14:textId="77777777" w:rsidR="00C649FE" w:rsidRDefault="00C649FE">
      <w:pPr>
        <w:widowControl w:val="0"/>
        <w:spacing w:line="252" w:lineRule="auto"/>
        <w:ind w:right="122"/>
        <w:jc w:val="both"/>
        <w:rPr>
          <w:rFonts w:ascii="Arial" w:eastAsia="Arial" w:hAnsi="Arial" w:cs="Arial"/>
          <w:sz w:val="22"/>
          <w:szCs w:val="22"/>
        </w:rPr>
      </w:pPr>
    </w:p>
    <w:p w14:paraId="603549EA" w14:textId="77777777" w:rsidR="00C649FE" w:rsidRDefault="00C649FE">
      <w:pPr>
        <w:jc w:val="both"/>
        <w:rPr>
          <w:rFonts w:ascii="Arial" w:eastAsia="Arial" w:hAnsi="Arial" w:cs="Arial"/>
          <w:sz w:val="22"/>
          <w:szCs w:val="22"/>
        </w:rPr>
      </w:pPr>
    </w:p>
    <w:p w14:paraId="77617337" w14:textId="77777777" w:rsidR="00C649FE" w:rsidRDefault="00C649FE">
      <w:pPr>
        <w:rPr>
          <w:rFonts w:ascii="Arial" w:eastAsia="Arial" w:hAnsi="Arial" w:cs="Arial"/>
          <w:sz w:val="22"/>
          <w:szCs w:val="22"/>
        </w:rPr>
      </w:pPr>
    </w:p>
    <w:sectPr w:rsidR="00C64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077" w:bottom="1077" w:left="1077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FE91" w14:textId="77777777" w:rsidR="008C517B" w:rsidRDefault="008C517B">
      <w:r>
        <w:separator/>
      </w:r>
    </w:p>
  </w:endnote>
  <w:endnote w:type="continuationSeparator" w:id="0">
    <w:p w14:paraId="077FF0FD" w14:textId="77777777" w:rsidR="008C517B" w:rsidRDefault="008C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486E" w14:textId="77777777" w:rsidR="00C649FE" w:rsidRDefault="00C649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A66B" w14:textId="77777777" w:rsidR="00C649FE" w:rsidRDefault="008C51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Registration No: 3423/83, Tax exemption No: 487313/Sept/84, Diluluskan HQ 162/2717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06BB" w14:textId="77777777" w:rsidR="00C649FE" w:rsidRDefault="00C649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6289" w14:textId="77777777" w:rsidR="008C517B" w:rsidRDefault="008C517B">
      <w:r>
        <w:separator/>
      </w:r>
    </w:p>
  </w:footnote>
  <w:footnote w:type="continuationSeparator" w:id="0">
    <w:p w14:paraId="22476465" w14:textId="77777777" w:rsidR="008C517B" w:rsidRDefault="008C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281A" w14:textId="77777777" w:rsidR="00C649FE" w:rsidRDefault="00C649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A623" w14:textId="77777777" w:rsidR="00C649FE" w:rsidRDefault="00C649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639" w:type="dxa"/>
      <w:tblInd w:w="-6" w:type="dxa"/>
      <w:tblLayout w:type="fixed"/>
      <w:tblLook w:val="0400" w:firstRow="0" w:lastRow="0" w:firstColumn="0" w:lastColumn="0" w:noHBand="0" w:noVBand="1"/>
    </w:tblPr>
    <w:tblGrid>
      <w:gridCol w:w="4816"/>
      <w:gridCol w:w="581"/>
      <w:gridCol w:w="4242"/>
    </w:tblGrid>
    <w:tr w:rsidR="00C649FE" w14:paraId="66087D54" w14:textId="77777777">
      <w:trPr>
        <w:trHeight w:val="989"/>
      </w:trPr>
      <w:tc>
        <w:tcPr>
          <w:tcW w:w="4816" w:type="dxa"/>
          <w:shd w:val="clear" w:color="auto" w:fill="auto"/>
        </w:tcPr>
        <w:p w14:paraId="3AC5552C" w14:textId="77777777" w:rsidR="00C649FE" w:rsidRDefault="008C51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E4A1A7A" wp14:editId="4BE676F0">
                <wp:simplePos x="0" y="0"/>
                <wp:positionH relativeFrom="column">
                  <wp:posOffset>-68579</wp:posOffset>
                </wp:positionH>
                <wp:positionV relativeFrom="paragraph">
                  <wp:posOffset>4445</wp:posOffset>
                </wp:positionV>
                <wp:extent cx="2914650" cy="532130"/>
                <wp:effectExtent l="0" t="0" r="0" b="0"/>
                <wp:wrapSquare wrapText="bothSides" distT="0" distB="0" distL="114300" distR="114300"/>
                <wp:docPr id="2" name="image1.jpg" descr="WAO Logo_MAD campaig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WAO Logo_MAD campaig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532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" w:type="dxa"/>
          <w:shd w:val="clear" w:color="auto" w:fill="auto"/>
        </w:tcPr>
        <w:p w14:paraId="3F614543" w14:textId="77777777" w:rsidR="00C649FE" w:rsidRDefault="00C649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20"/>
              <w:szCs w:val="20"/>
            </w:rPr>
          </w:pPr>
        </w:p>
      </w:tc>
      <w:tc>
        <w:tcPr>
          <w:tcW w:w="4242" w:type="dxa"/>
          <w:shd w:val="clear" w:color="auto" w:fill="auto"/>
        </w:tcPr>
        <w:p w14:paraId="11AAF1BC" w14:textId="77777777" w:rsidR="00C649FE" w:rsidRDefault="008C51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                                  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hidden="0" allowOverlap="1" wp14:anchorId="636DAD00" wp14:editId="0192D4B6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-76199</wp:posOffset>
                    </wp:positionV>
                    <wp:extent cx="2524125" cy="809625"/>
                    <wp:effectExtent l="0" t="0" r="0" b="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088700" y="3379950"/>
                              <a:ext cx="25146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F6F952" w14:textId="77777777" w:rsidR="00C649FE" w:rsidRDefault="008C517B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P.O. Box 493, Jalan Sultan</w:t>
                                </w:r>
                              </w:p>
                              <w:p w14:paraId="35C7A944" w14:textId="77777777" w:rsidR="00C649FE" w:rsidRDefault="008C517B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 xml:space="preserve">       46760 Petaling Jaya, Selangor, Malaysia</w:t>
                                </w:r>
                              </w:p>
                              <w:p w14:paraId="47B55910" w14:textId="77777777" w:rsidR="00C649FE" w:rsidRDefault="008C517B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Tel: 03 7957 0636 / 5636</w:t>
                                </w:r>
                              </w:p>
                              <w:p w14:paraId="13269FF8" w14:textId="77777777" w:rsidR="00C649FE" w:rsidRDefault="008C517B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WAO Hotline: 03 7956 3488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-76199</wp:posOffset>
                    </wp:positionV>
                    <wp:extent cx="2524125" cy="809625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24125" cy="80962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6EBCFD05" w14:textId="77777777" w:rsidR="00C649FE" w:rsidRDefault="00C649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2A64" w14:textId="77777777" w:rsidR="00C649FE" w:rsidRDefault="00C649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2740"/>
    <w:multiLevelType w:val="multilevel"/>
    <w:tmpl w:val="D70EF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6B3712"/>
    <w:multiLevelType w:val="multilevel"/>
    <w:tmpl w:val="F9D64888"/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18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2160" w:hanging="36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607950C3"/>
    <w:multiLevelType w:val="multilevel"/>
    <w:tmpl w:val="19E4C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8C7E2C"/>
    <w:multiLevelType w:val="multilevel"/>
    <w:tmpl w:val="70A4D868"/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18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2160" w:hanging="36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70024D9E"/>
    <w:multiLevelType w:val="multilevel"/>
    <w:tmpl w:val="DD583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5C2F68"/>
    <w:multiLevelType w:val="multilevel"/>
    <w:tmpl w:val="E67814E2"/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18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2160" w:hanging="36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3240" w:hanging="36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FE"/>
    <w:rsid w:val="00787EEB"/>
    <w:rsid w:val="008C517B"/>
    <w:rsid w:val="00C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E4C2"/>
  <w15:docId w15:val="{5070E4A4-2D3D-4E84-8B42-AE8902C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2966</Characters>
  <Application>Microsoft Office Word</Application>
  <DocSecurity>0</DocSecurity>
  <Lines>89</Lines>
  <Paragraphs>79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Melissa Wong</dc:creator>
  <cp:lastModifiedBy>Joanne Melissa Wong</cp:lastModifiedBy>
  <cp:revision>2</cp:revision>
  <dcterms:created xsi:type="dcterms:W3CDTF">2024-03-21T11:20:00Z</dcterms:created>
  <dcterms:modified xsi:type="dcterms:W3CDTF">2024-03-21T11:20:00Z</dcterms:modified>
</cp:coreProperties>
</file>